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2C9" w:rsidRPr="008132C9" w:rsidRDefault="008132C9" w:rsidP="008132C9">
      <w:pPr>
        <w:widowControl w:val="0"/>
        <w:jc w:val="both"/>
        <w:rPr>
          <w:rFonts w:eastAsia="SimSun" w:cs="Mangal"/>
          <w:noProof/>
          <w:color w:val="00000A"/>
          <w:sz w:val="28"/>
          <w:szCs w:val="28"/>
          <w:lang w:bidi="hi-IN"/>
        </w:rPr>
      </w:pPr>
      <w:r>
        <w:rPr>
          <w:rFonts w:eastAsia="SimSun" w:cs="Mangal"/>
          <w:b/>
          <w:noProof/>
          <w:color w:val="00000A"/>
          <w:sz w:val="28"/>
          <w:szCs w:val="28"/>
          <w:lang w:bidi="hi-IN"/>
        </w:rPr>
        <w:t xml:space="preserve">  </w:t>
      </w:r>
      <w:r w:rsidRPr="008132C9">
        <w:rPr>
          <w:rFonts w:eastAsia="SimSun" w:cs="Mangal"/>
          <w:b/>
          <w:noProof/>
          <w:color w:val="00000A"/>
          <w:sz w:val="28"/>
          <w:szCs w:val="28"/>
          <w:lang w:bidi="hi-IN"/>
        </w:rPr>
        <w:t>Российская Федерация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 xml:space="preserve">    АДМИНИСТРАЦИЯ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 xml:space="preserve">  Романовского сельсовета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>Александровского района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 xml:space="preserve">   Оренбургской области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 xml:space="preserve">     ПОСТАНОВЛЕНИЕ</w:t>
      </w: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 xml:space="preserve">     от 18.03.2022  № 2</w:t>
      </w:r>
      <w:r>
        <w:rPr>
          <w:rFonts w:eastAsia="SimSun" w:cs="Mangal"/>
          <w:b/>
          <w:color w:val="00000A"/>
          <w:sz w:val="28"/>
          <w:szCs w:val="28"/>
          <w:lang w:bidi="hi-IN"/>
        </w:rPr>
        <w:t>8</w:t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>-п</w:t>
      </w:r>
    </w:p>
    <w:p w:rsidR="008132C9" w:rsidRDefault="008132C9">
      <w:pPr>
        <w:widowControl w:val="0"/>
        <w:autoSpaceDE w:val="0"/>
        <w:ind w:right="-2"/>
        <w:jc w:val="center"/>
        <w:outlineLvl w:val="1"/>
        <w:rPr>
          <w:sz w:val="28"/>
          <w:szCs w:val="28"/>
          <w:lang w:eastAsia="ru-RU"/>
        </w:rPr>
      </w:pPr>
    </w:p>
    <w:p w:rsidR="008132C9" w:rsidRDefault="008132C9">
      <w:pPr>
        <w:widowControl w:val="0"/>
        <w:autoSpaceDE w:val="0"/>
        <w:ind w:right="-2"/>
        <w:jc w:val="center"/>
        <w:outlineLvl w:val="1"/>
        <w:rPr>
          <w:sz w:val="28"/>
          <w:szCs w:val="28"/>
          <w:lang w:eastAsia="ru-RU"/>
        </w:rPr>
      </w:pPr>
    </w:p>
    <w:p w:rsidR="008132C9" w:rsidRDefault="008132C9" w:rsidP="008132C9">
      <w:pPr>
        <w:widowControl w:val="0"/>
        <w:autoSpaceDE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>Программы профилактики рисков</w:t>
      </w:r>
    </w:p>
    <w:p w:rsidR="008132C9" w:rsidRDefault="008132C9" w:rsidP="008132C9">
      <w:pPr>
        <w:widowControl w:val="0"/>
        <w:autoSpaceDE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причинения вреда (ущерба) охраняемым законом</w:t>
      </w:r>
    </w:p>
    <w:p w:rsidR="008132C9" w:rsidRDefault="008132C9" w:rsidP="008132C9">
      <w:pPr>
        <w:widowControl w:val="0"/>
        <w:autoSpaceDE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ценностям при осуществлении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</w:p>
    <w:p w:rsidR="008132C9" w:rsidRDefault="008132C9" w:rsidP="008132C9">
      <w:pPr>
        <w:widowControl w:val="0"/>
        <w:autoSpaceDE w:val="0"/>
        <w:ind w:right="-2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контроля </w:t>
      </w:r>
      <w:r>
        <w:rPr>
          <w:color w:val="000000"/>
          <w:sz w:val="28"/>
          <w:szCs w:val="28"/>
          <w:shd w:val="clear" w:color="auto" w:fill="FFFFFF"/>
        </w:rPr>
        <w:t>в сфере благоустройства на территории</w:t>
      </w:r>
    </w:p>
    <w:p w:rsidR="008132C9" w:rsidRDefault="008132C9" w:rsidP="008132C9">
      <w:pPr>
        <w:widowControl w:val="0"/>
        <w:autoSpaceDE w:val="0"/>
        <w:ind w:right="-2"/>
        <w:outlineLvl w:val="1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Романовского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</w:t>
      </w:r>
    </w:p>
    <w:p w:rsidR="00B413A4" w:rsidRPr="008132C9" w:rsidRDefault="008132C9" w:rsidP="008132C9">
      <w:pPr>
        <w:widowControl w:val="0"/>
        <w:autoSpaceDE w:val="0"/>
        <w:ind w:right="-2"/>
        <w:outlineLvl w:val="1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Оренбургской области</w:t>
      </w:r>
      <w:r>
        <w:rPr>
          <w:sz w:val="28"/>
          <w:szCs w:val="28"/>
        </w:rPr>
        <w:t xml:space="preserve"> на 2022 год</w:t>
      </w:r>
    </w:p>
    <w:p w:rsidR="00B413A4" w:rsidRDefault="00B413A4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8132C9" w:rsidRDefault="008132C9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B413A4" w:rsidRDefault="008132C9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</w:t>
      </w:r>
      <w:r>
        <w:rPr>
          <w:bCs/>
          <w:sz w:val="28"/>
          <w:szCs w:val="28"/>
        </w:rPr>
        <w:t>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</w:t>
      </w:r>
      <w:r>
        <w:rPr>
          <w:bCs/>
          <w:sz w:val="28"/>
          <w:szCs w:val="28"/>
        </w:rPr>
        <w:t>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413A4" w:rsidRDefault="00B413A4">
      <w:pPr>
        <w:spacing w:line="312" w:lineRule="exact"/>
        <w:ind w:firstLine="708"/>
        <w:jc w:val="both"/>
        <w:rPr>
          <w:sz w:val="28"/>
          <w:szCs w:val="28"/>
        </w:rPr>
      </w:pPr>
    </w:p>
    <w:p w:rsidR="00B413A4" w:rsidRDefault="008132C9">
      <w:pPr>
        <w:widowControl w:val="0"/>
        <w:autoSpaceDE w:val="0"/>
        <w:ind w:right="-2"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</w:t>
      </w:r>
      <w:r>
        <w:rPr>
          <w:sz w:val="28"/>
        </w:rPr>
        <w:t xml:space="preserve">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sz w:val="28"/>
          <w:szCs w:val="28"/>
        </w:rPr>
        <w:t>в сфере благоустройства на территории Романовского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sz w:val="28"/>
        </w:rPr>
        <w:t>на 2022 год (далее – Программа) согласно приложе</w:t>
      </w:r>
      <w:r>
        <w:rPr>
          <w:sz w:val="28"/>
        </w:rPr>
        <w:t>нию.</w:t>
      </w:r>
    </w:p>
    <w:p w:rsidR="00B413A4" w:rsidRDefault="008132C9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администрации муниципального образования в сети Интернет </w:t>
      </w:r>
      <w:hyperlink r:id="rId5" w:history="1">
        <w:r w:rsidRPr="008132C9">
          <w:rPr>
            <w:rStyle w:val="af8"/>
            <w:color w:val="auto"/>
            <w:sz w:val="28"/>
            <w:szCs w:val="28"/>
          </w:rPr>
          <w:t>http://adminromanovsky.ru</w:t>
        </w:r>
      </w:hyperlink>
      <w:r w:rsidRPr="008132C9">
        <w:rPr>
          <w:sz w:val="28"/>
          <w:szCs w:val="28"/>
        </w:rPr>
        <w:t xml:space="preserve"> </w:t>
      </w:r>
      <w:r>
        <w:br/>
      </w:r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B413A4" w:rsidRDefault="008132C9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13A4" w:rsidRDefault="00B413A4">
      <w:pPr>
        <w:ind w:firstLine="708"/>
        <w:jc w:val="both"/>
        <w:rPr>
          <w:sz w:val="28"/>
          <w:szCs w:val="28"/>
        </w:rPr>
      </w:pPr>
    </w:p>
    <w:p w:rsidR="008132C9" w:rsidRPr="008132C9" w:rsidRDefault="008132C9" w:rsidP="008132C9">
      <w:pPr>
        <w:widowControl w:val="0"/>
        <w:jc w:val="both"/>
        <w:rPr>
          <w:rFonts w:eastAsia="SimSun" w:cs="Mangal"/>
          <w:b/>
          <w:color w:val="00000A"/>
          <w:sz w:val="28"/>
          <w:szCs w:val="28"/>
          <w:lang w:bidi="hi-IN"/>
        </w:rPr>
      </w:pP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>Глава администрации</w:t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</w:r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ab/>
        <w:t xml:space="preserve">      </w:t>
      </w:r>
      <w:proofErr w:type="spellStart"/>
      <w:r w:rsidRPr="008132C9">
        <w:rPr>
          <w:rFonts w:eastAsia="SimSun" w:cs="Mangal"/>
          <w:b/>
          <w:color w:val="00000A"/>
          <w:sz w:val="28"/>
          <w:szCs w:val="28"/>
          <w:lang w:bidi="hi-IN"/>
        </w:rPr>
        <w:t>З.Е.Нурова</w:t>
      </w:r>
      <w:proofErr w:type="spellEnd"/>
    </w:p>
    <w:p w:rsidR="008132C9" w:rsidRPr="008132C9" w:rsidRDefault="008132C9" w:rsidP="008132C9">
      <w:pPr>
        <w:widowControl w:val="0"/>
        <w:jc w:val="both"/>
        <w:rPr>
          <w:rFonts w:eastAsia="SimSun" w:cs="Mangal"/>
          <w:color w:val="00000A"/>
          <w:sz w:val="28"/>
          <w:szCs w:val="28"/>
          <w:lang w:bidi="hi-IN"/>
        </w:rPr>
      </w:pPr>
    </w:p>
    <w:p w:rsidR="008132C9" w:rsidRPr="008132C9" w:rsidRDefault="008132C9" w:rsidP="008132C9">
      <w:pPr>
        <w:widowControl w:val="0"/>
        <w:jc w:val="both"/>
        <w:rPr>
          <w:rFonts w:eastAsia="SimSun" w:cs="Mangal"/>
          <w:color w:val="00000A"/>
          <w:sz w:val="28"/>
          <w:szCs w:val="28"/>
          <w:lang w:bidi="hi-IN"/>
        </w:rPr>
      </w:pPr>
    </w:p>
    <w:p w:rsidR="00B413A4" w:rsidRDefault="008132C9" w:rsidP="008132C9">
      <w:pPr>
        <w:widowControl w:val="0"/>
        <w:autoSpaceDE w:val="0"/>
        <w:jc w:val="both"/>
        <w:outlineLvl w:val="1"/>
      </w:pPr>
      <w:r w:rsidRPr="008132C9">
        <w:rPr>
          <w:rFonts w:eastAsia="SimSun" w:cs="Mangal"/>
          <w:color w:val="00000A"/>
          <w:sz w:val="28"/>
          <w:szCs w:val="28"/>
          <w:lang w:bidi="hi-IN"/>
        </w:rPr>
        <w:t>Разослано: прокурору, в дело.</w:t>
      </w:r>
      <w:r>
        <w:br w:type="page"/>
      </w:r>
    </w:p>
    <w:p w:rsidR="00B413A4" w:rsidRDefault="008132C9">
      <w:pPr>
        <w:pStyle w:val="xl83"/>
        <w:suppressAutoHyphens/>
        <w:spacing w:before="0" w:after="0"/>
        <w:jc w:val="right"/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B413A4" w:rsidRDefault="008132C9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B413A4" w:rsidRDefault="008132C9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 xml:space="preserve">от 18.03.2022 </w:t>
      </w:r>
      <w:r>
        <w:rPr>
          <w:sz w:val="28"/>
          <w:szCs w:val="28"/>
          <w:lang w:eastAsia="ar-SA"/>
        </w:rPr>
        <w:t xml:space="preserve"> № 28</w:t>
      </w:r>
      <w:r>
        <w:rPr>
          <w:sz w:val="28"/>
          <w:szCs w:val="28"/>
          <w:lang w:eastAsia="ar-SA"/>
        </w:rPr>
        <w:t>-п</w:t>
      </w:r>
    </w:p>
    <w:p w:rsidR="00B413A4" w:rsidRDefault="00B413A4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B413A4" w:rsidRDefault="008132C9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413A4" w:rsidRDefault="008132C9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B413A4" w:rsidRDefault="008132C9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 при осущес</w:t>
      </w:r>
      <w:r>
        <w:rPr>
          <w:sz w:val="28"/>
          <w:szCs w:val="28"/>
        </w:rPr>
        <w:t>твлении муниципального контроля в сфере благоустройства на территории Романовского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на 2022 год</w:t>
      </w:r>
    </w:p>
    <w:p w:rsidR="00B413A4" w:rsidRDefault="00B413A4">
      <w:pPr>
        <w:widowControl w:val="0"/>
        <w:autoSpaceDE w:val="0"/>
        <w:ind w:right="-2"/>
        <w:jc w:val="center"/>
        <w:outlineLvl w:val="1"/>
        <w:rPr>
          <w:b/>
          <w:sz w:val="28"/>
          <w:szCs w:val="28"/>
        </w:rPr>
      </w:pPr>
    </w:p>
    <w:p w:rsidR="00B413A4" w:rsidRDefault="008132C9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</w:t>
      </w:r>
      <w:r>
        <w:rPr>
          <w:b/>
          <w:sz w:val="28"/>
          <w:szCs w:val="28"/>
        </w:rPr>
        <w:t>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B413A4" w:rsidRDefault="00B413A4">
      <w:pPr>
        <w:widowControl w:val="0"/>
        <w:autoSpaceDE w:val="0"/>
        <w:jc w:val="both"/>
        <w:outlineLvl w:val="1"/>
        <w:rPr>
          <w:b/>
          <w:sz w:val="28"/>
          <w:szCs w:val="28"/>
        </w:rPr>
      </w:pPr>
    </w:p>
    <w:p w:rsidR="00B413A4" w:rsidRDefault="008132C9">
      <w:pPr>
        <w:ind w:firstLine="709"/>
        <w:jc w:val="both"/>
      </w:pPr>
      <w:r>
        <w:rPr>
          <w:sz w:val="28"/>
          <w:szCs w:val="28"/>
        </w:rPr>
        <w:t>Предметом муниципального контроля на территории муниципального образования Романовский</w:t>
      </w:r>
      <w:r>
        <w:rPr>
          <w:sz w:val="28"/>
          <w:szCs w:val="28"/>
        </w:rPr>
        <w:t xml:space="preserve"> сельсовет Оренбургского района Оренбургской области (далее – Администрация)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соблюдение правил благоустройства на территории Романовского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области, требований к обеспечению доступности для инвалидов объектов со</w:t>
      </w:r>
      <w:r>
        <w:rPr>
          <w:color w:val="000000"/>
          <w:sz w:val="28"/>
          <w:szCs w:val="28"/>
          <w:shd w:val="clear" w:color="auto" w:fill="FFFFFF"/>
        </w:rPr>
        <w:t>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B413A4" w:rsidRDefault="008132C9">
      <w:pPr>
        <w:pStyle w:val="af3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</w:t>
      </w:r>
      <w:r>
        <w:rPr>
          <w:sz w:val="28"/>
          <w:szCs w:val="28"/>
        </w:rPr>
        <w:t xml:space="preserve">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413A4" w:rsidRDefault="008132C9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 2021 года проведено 0 проверок соблюдения действующего законодательства Российской Федерации </w:t>
      </w:r>
      <w:r>
        <w:rPr>
          <w:sz w:val="28"/>
          <w:szCs w:val="28"/>
        </w:rPr>
        <w:t>в указанной сфере.</w:t>
      </w:r>
    </w:p>
    <w:p w:rsidR="00B413A4" w:rsidRDefault="00B413A4">
      <w:pPr>
        <w:widowControl w:val="0"/>
        <w:ind w:firstLine="709"/>
        <w:jc w:val="both"/>
        <w:rPr>
          <w:sz w:val="28"/>
          <w:szCs w:val="28"/>
        </w:rPr>
      </w:pPr>
    </w:p>
    <w:p w:rsidR="00B413A4" w:rsidRDefault="008132C9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B413A4" w:rsidRDefault="00B413A4">
      <w:pPr>
        <w:widowControl w:val="0"/>
        <w:suppressAutoHyphens w:val="0"/>
        <w:ind w:left="786"/>
        <w:rPr>
          <w:sz w:val="28"/>
          <w:szCs w:val="28"/>
        </w:rPr>
      </w:pP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</w:t>
      </w:r>
      <w:r>
        <w:rPr>
          <w:sz w:val="28"/>
          <w:szCs w:val="28"/>
        </w:rPr>
        <w:t xml:space="preserve"> способных привести к нарушениям обязательных требований и (или) причинению вреда (ущерба) охраняемым законом ценностям; 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снижени</w:t>
      </w:r>
      <w:r>
        <w:rPr>
          <w:sz w:val="28"/>
          <w:szCs w:val="28"/>
        </w:rPr>
        <w:t>е размера ущерба, причиняемого охраняемым законом ценностям.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</w:t>
      </w:r>
      <w:r>
        <w:rPr>
          <w:sz w:val="28"/>
          <w:szCs w:val="28"/>
        </w:rPr>
        <w:t>ых требований, разработка мероприятий, направленных на устранение нарушений обязательных требований;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413A4" w:rsidRDefault="008132C9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</w:t>
      </w: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815"/>
        <w:gridCol w:w="2409"/>
        <w:gridCol w:w="2410"/>
      </w:tblGrid>
      <w:tr w:rsidR="00B413A4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4" w:rsidRDefault="0081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B413A4" w:rsidRDefault="00B4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4" w:rsidRDefault="008132C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413A4" w:rsidRDefault="008132C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4" w:rsidRDefault="0081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4" w:rsidRDefault="0081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B413A4">
        <w:trPr>
          <w:trHeight w:hRule="exact" w:val="2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</w:p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B413A4" w:rsidRDefault="00B413A4">
            <w:pPr>
              <w:ind w:firstLine="13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должностным обязанностям которог</w:t>
            </w:r>
            <w:r>
              <w:rPr>
                <w:sz w:val="24"/>
                <w:szCs w:val="24"/>
              </w:rPr>
              <w:t xml:space="preserve">о относится осуществление муниципального контроля </w:t>
            </w:r>
          </w:p>
        </w:tc>
      </w:tr>
      <w:tr w:rsidR="00B413A4">
        <w:trPr>
          <w:trHeight w:hRule="exact" w:val="45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Обобщение правоприменительной практики</w:t>
            </w:r>
          </w:p>
          <w:p w:rsidR="00B413A4" w:rsidRDefault="008132C9">
            <w:pPr>
              <w:pStyle w:val="ConsPlusNormal"/>
              <w:ind w:firstLine="119"/>
              <w:jc w:val="both"/>
            </w:pPr>
            <w:r>
              <w:rPr>
                <w:b w:val="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По</w:t>
            </w:r>
            <w:r>
              <w:rPr>
                <w:b w:val="0"/>
              </w:rPr>
              <w:t xml:space="preserve">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B413A4" w:rsidRDefault="00B413A4">
            <w:pPr>
              <w:pStyle w:val="ConsPlusNormal"/>
              <w:ind w:firstLine="567"/>
              <w:jc w:val="both"/>
              <w:rPr>
                <w:b w:val="0"/>
              </w:rPr>
            </w:pPr>
          </w:p>
          <w:p w:rsidR="00B413A4" w:rsidRDefault="00B413A4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HTML0"/>
              <w:ind w:firstLine="1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01 марта года,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дующего за годом обобщения правопр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B413A4" w:rsidRDefault="00B41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413A4">
        <w:trPr>
          <w:trHeight w:hRule="exact" w:val="45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Объявление предостережения</w:t>
            </w:r>
          </w:p>
          <w:p w:rsidR="00B413A4" w:rsidRDefault="008132C9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b w:val="0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413A4" w:rsidRDefault="00B413A4">
            <w:pPr>
              <w:widowControl w:val="0"/>
              <w:spacing w:line="27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</w:t>
            </w:r>
            <w:r>
              <w:rPr>
                <w:sz w:val="24"/>
                <w:szCs w:val="24"/>
              </w:rPr>
              <w:t xml:space="preserve">тным обязанностям которого относится осуществление муниципального контроля </w:t>
            </w:r>
          </w:p>
        </w:tc>
      </w:tr>
      <w:tr w:rsidR="00B413A4">
        <w:trPr>
          <w:trHeight w:hRule="exact" w:val="3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413A4" w:rsidRDefault="008132C9">
            <w:pPr>
              <w:pStyle w:val="af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413A4">
        <w:trPr>
          <w:trHeight w:hRule="exact" w:val="20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B413A4" w:rsidRDefault="00B413A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B413A4" w:rsidRDefault="00B413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A4" w:rsidRDefault="008132C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3A4" w:rsidRDefault="00B413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A4" w:rsidRDefault="0081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B413A4" w:rsidRDefault="00B413A4">
      <w:pPr>
        <w:widowControl w:val="0"/>
        <w:ind w:firstLine="709"/>
        <w:jc w:val="both"/>
        <w:rPr>
          <w:b/>
          <w:sz w:val="28"/>
          <w:szCs w:val="28"/>
        </w:rPr>
      </w:pPr>
    </w:p>
    <w:p w:rsidR="00B413A4" w:rsidRDefault="008132C9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B413A4" w:rsidRDefault="00B413A4">
      <w:pPr>
        <w:widowControl w:val="0"/>
        <w:ind w:left="786"/>
        <w:rPr>
          <w:sz w:val="28"/>
          <w:szCs w:val="28"/>
        </w:rPr>
      </w:pP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</w:t>
      </w:r>
      <w:r>
        <w:rPr>
          <w:sz w:val="28"/>
          <w:szCs w:val="28"/>
        </w:rPr>
        <w:t>осуществляется по итогам соответствующего года ее реализации.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</w:t>
      </w:r>
      <w:r>
        <w:rPr>
          <w:sz w:val="28"/>
          <w:szCs w:val="28"/>
        </w:rPr>
        <w:t>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</w:t>
      </w:r>
      <w:r>
        <w:rPr>
          <w:sz w:val="28"/>
          <w:szCs w:val="28"/>
        </w:rPr>
        <w:t>дению.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t xml:space="preserve">Ожидаемый социальный эффект профилактики нарушений </w:t>
      </w:r>
      <w:r>
        <w:rPr>
          <w:sz w:val="28"/>
          <w:szCs w:val="28"/>
        </w:rPr>
        <w:t>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</w:t>
      </w:r>
      <w:r>
        <w:rPr>
          <w:sz w:val="28"/>
          <w:szCs w:val="28"/>
        </w:rPr>
        <w:t>х требований законодательства в сфере жилищных отношений:</w:t>
      </w:r>
    </w:p>
    <w:p w:rsidR="00B413A4" w:rsidRDefault="008132C9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</w:t>
      </w:r>
      <w:r>
        <w:rPr>
          <w:sz w:val="28"/>
          <w:szCs w:val="28"/>
        </w:rPr>
        <w:t xml:space="preserve">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413A4" w:rsidRDefault="00813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</w:t>
      </w:r>
      <w:r>
        <w:rPr>
          <w:sz w:val="28"/>
          <w:szCs w:val="28"/>
        </w:rPr>
        <w:t>х субъектов к администрации поселения.</w:t>
      </w:r>
    </w:p>
    <w:p w:rsidR="00B413A4" w:rsidRDefault="00B413A4">
      <w:pPr>
        <w:pStyle w:val="32"/>
        <w:ind w:firstLine="0"/>
        <w:rPr>
          <w:sz w:val="28"/>
          <w:szCs w:val="28"/>
        </w:rPr>
      </w:pPr>
    </w:p>
    <w:p w:rsidR="00B413A4" w:rsidRDefault="00B413A4">
      <w:pPr>
        <w:pStyle w:val="32"/>
        <w:ind w:firstLine="0"/>
        <w:rPr>
          <w:sz w:val="28"/>
          <w:szCs w:val="28"/>
        </w:rPr>
      </w:pPr>
    </w:p>
    <w:p w:rsidR="00B413A4" w:rsidRDefault="008132C9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</w:t>
      </w:r>
    </w:p>
    <w:sectPr w:rsidR="00B413A4" w:rsidSect="00B413A4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E4C"/>
    <w:multiLevelType w:val="multilevel"/>
    <w:tmpl w:val="8A44D4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DD00CF"/>
    <w:multiLevelType w:val="multilevel"/>
    <w:tmpl w:val="706077F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B413A4"/>
    <w:rsid w:val="008132C9"/>
    <w:rsid w:val="00B4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413A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B413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B413A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B413A4"/>
  </w:style>
  <w:style w:type="character" w:customStyle="1" w:styleId="WW8Num2z0">
    <w:name w:val="WW8Num2z0"/>
    <w:qFormat/>
    <w:rsid w:val="00B413A4"/>
    <w:rPr>
      <w:bCs/>
      <w:sz w:val="26"/>
      <w:szCs w:val="26"/>
    </w:rPr>
  </w:style>
  <w:style w:type="character" w:customStyle="1" w:styleId="WW8Num3z0">
    <w:name w:val="WW8Num3z0"/>
    <w:qFormat/>
    <w:rsid w:val="00B413A4"/>
    <w:rPr>
      <w:sz w:val="26"/>
      <w:szCs w:val="26"/>
      <w:lang w:eastAsia="ru-RU"/>
    </w:rPr>
  </w:style>
  <w:style w:type="character" w:customStyle="1" w:styleId="WW8Num4z0">
    <w:name w:val="WW8Num4z0"/>
    <w:qFormat/>
    <w:rsid w:val="00B413A4"/>
  </w:style>
  <w:style w:type="character" w:customStyle="1" w:styleId="WW8Num5z0">
    <w:name w:val="WW8Num5z0"/>
    <w:qFormat/>
    <w:rsid w:val="00B413A4"/>
  </w:style>
  <w:style w:type="character" w:customStyle="1" w:styleId="WW8Num1z1">
    <w:name w:val="WW8Num1z1"/>
    <w:qFormat/>
    <w:rsid w:val="00B413A4"/>
  </w:style>
  <w:style w:type="character" w:customStyle="1" w:styleId="WW8Num1z2">
    <w:name w:val="WW8Num1z2"/>
    <w:qFormat/>
    <w:rsid w:val="00B413A4"/>
  </w:style>
  <w:style w:type="character" w:customStyle="1" w:styleId="WW8Num1z3">
    <w:name w:val="WW8Num1z3"/>
    <w:qFormat/>
    <w:rsid w:val="00B413A4"/>
  </w:style>
  <w:style w:type="character" w:customStyle="1" w:styleId="WW8Num1z4">
    <w:name w:val="WW8Num1z4"/>
    <w:qFormat/>
    <w:rsid w:val="00B413A4"/>
  </w:style>
  <w:style w:type="character" w:customStyle="1" w:styleId="WW8Num1z5">
    <w:name w:val="WW8Num1z5"/>
    <w:qFormat/>
    <w:rsid w:val="00B413A4"/>
  </w:style>
  <w:style w:type="character" w:customStyle="1" w:styleId="WW8Num1z6">
    <w:name w:val="WW8Num1z6"/>
    <w:qFormat/>
    <w:rsid w:val="00B413A4"/>
  </w:style>
  <w:style w:type="character" w:customStyle="1" w:styleId="WW8Num1z7">
    <w:name w:val="WW8Num1z7"/>
    <w:qFormat/>
    <w:rsid w:val="00B413A4"/>
  </w:style>
  <w:style w:type="character" w:customStyle="1" w:styleId="WW8Num1z8">
    <w:name w:val="WW8Num1z8"/>
    <w:qFormat/>
    <w:rsid w:val="00B413A4"/>
  </w:style>
  <w:style w:type="character" w:customStyle="1" w:styleId="WW8Num2z2">
    <w:name w:val="WW8Num2z2"/>
    <w:qFormat/>
    <w:rsid w:val="00B413A4"/>
  </w:style>
  <w:style w:type="character" w:customStyle="1" w:styleId="WW8Num2z3">
    <w:name w:val="WW8Num2z3"/>
    <w:qFormat/>
    <w:rsid w:val="00B413A4"/>
  </w:style>
  <w:style w:type="character" w:customStyle="1" w:styleId="WW8Num2z4">
    <w:name w:val="WW8Num2z4"/>
    <w:qFormat/>
    <w:rsid w:val="00B413A4"/>
  </w:style>
  <w:style w:type="character" w:customStyle="1" w:styleId="WW8Num2z5">
    <w:name w:val="WW8Num2z5"/>
    <w:qFormat/>
    <w:rsid w:val="00B413A4"/>
  </w:style>
  <w:style w:type="character" w:customStyle="1" w:styleId="WW8Num2z6">
    <w:name w:val="WW8Num2z6"/>
    <w:qFormat/>
    <w:rsid w:val="00B413A4"/>
  </w:style>
  <w:style w:type="character" w:customStyle="1" w:styleId="WW8Num2z7">
    <w:name w:val="WW8Num2z7"/>
    <w:qFormat/>
    <w:rsid w:val="00B413A4"/>
  </w:style>
  <w:style w:type="character" w:customStyle="1" w:styleId="WW8Num2z8">
    <w:name w:val="WW8Num2z8"/>
    <w:qFormat/>
    <w:rsid w:val="00B413A4"/>
  </w:style>
  <w:style w:type="character" w:customStyle="1" w:styleId="WW8Num4z1">
    <w:name w:val="WW8Num4z1"/>
    <w:qFormat/>
    <w:rsid w:val="00B413A4"/>
  </w:style>
  <w:style w:type="character" w:customStyle="1" w:styleId="WW8Num4z2">
    <w:name w:val="WW8Num4z2"/>
    <w:qFormat/>
    <w:rsid w:val="00B413A4"/>
  </w:style>
  <w:style w:type="character" w:customStyle="1" w:styleId="WW8Num4z3">
    <w:name w:val="WW8Num4z3"/>
    <w:qFormat/>
    <w:rsid w:val="00B413A4"/>
  </w:style>
  <w:style w:type="character" w:customStyle="1" w:styleId="WW8Num4z4">
    <w:name w:val="WW8Num4z4"/>
    <w:qFormat/>
    <w:rsid w:val="00B413A4"/>
  </w:style>
  <w:style w:type="character" w:customStyle="1" w:styleId="WW8Num4z5">
    <w:name w:val="WW8Num4z5"/>
    <w:qFormat/>
    <w:rsid w:val="00B413A4"/>
  </w:style>
  <w:style w:type="character" w:customStyle="1" w:styleId="WW8Num4z6">
    <w:name w:val="WW8Num4z6"/>
    <w:qFormat/>
    <w:rsid w:val="00B413A4"/>
  </w:style>
  <w:style w:type="character" w:customStyle="1" w:styleId="WW8Num4z7">
    <w:name w:val="WW8Num4z7"/>
    <w:qFormat/>
    <w:rsid w:val="00B413A4"/>
  </w:style>
  <w:style w:type="character" w:customStyle="1" w:styleId="WW8Num4z8">
    <w:name w:val="WW8Num4z8"/>
    <w:qFormat/>
    <w:rsid w:val="00B413A4"/>
  </w:style>
  <w:style w:type="character" w:customStyle="1" w:styleId="WW8Num6z0">
    <w:name w:val="WW8Num6z0"/>
    <w:qFormat/>
    <w:rsid w:val="00B413A4"/>
  </w:style>
  <w:style w:type="character" w:customStyle="1" w:styleId="WW8Num6z1">
    <w:name w:val="WW8Num6z1"/>
    <w:qFormat/>
    <w:rsid w:val="00B413A4"/>
  </w:style>
  <w:style w:type="character" w:customStyle="1" w:styleId="WW8Num6z2">
    <w:name w:val="WW8Num6z2"/>
    <w:qFormat/>
    <w:rsid w:val="00B413A4"/>
  </w:style>
  <w:style w:type="character" w:customStyle="1" w:styleId="WW8Num6z3">
    <w:name w:val="WW8Num6z3"/>
    <w:qFormat/>
    <w:rsid w:val="00B413A4"/>
  </w:style>
  <w:style w:type="character" w:customStyle="1" w:styleId="WW8Num6z4">
    <w:name w:val="WW8Num6z4"/>
    <w:qFormat/>
    <w:rsid w:val="00B413A4"/>
  </w:style>
  <w:style w:type="character" w:customStyle="1" w:styleId="WW8Num6z5">
    <w:name w:val="WW8Num6z5"/>
    <w:qFormat/>
    <w:rsid w:val="00B413A4"/>
  </w:style>
  <w:style w:type="character" w:customStyle="1" w:styleId="WW8Num6z6">
    <w:name w:val="WW8Num6z6"/>
    <w:qFormat/>
    <w:rsid w:val="00B413A4"/>
  </w:style>
  <w:style w:type="character" w:customStyle="1" w:styleId="WW8Num6z7">
    <w:name w:val="WW8Num6z7"/>
    <w:qFormat/>
    <w:rsid w:val="00B413A4"/>
  </w:style>
  <w:style w:type="character" w:customStyle="1" w:styleId="WW8Num6z8">
    <w:name w:val="WW8Num6z8"/>
    <w:qFormat/>
    <w:rsid w:val="00B413A4"/>
  </w:style>
  <w:style w:type="character" w:customStyle="1" w:styleId="3">
    <w:name w:val="Основной шрифт абзаца3"/>
    <w:qFormat/>
    <w:rsid w:val="00B413A4"/>
  </w:style>
  <w:style w:type="character" w:customStyle="1" w:styleId="2">
    <w:name w:val="Основной шрифт абзаца2"/>
    <w:qFormat/>
    <w:rsid w:val="00B413A4"/>
  </w:style>
  <w:style w:type="character" w:customStyle="1" w:styleId="1">
    <w:name w:val="Основной шрифт абзаца1"/>
    <w:qFormat/>
    <w:rsid w:val="00B413A4"/>
  </w:style>
  <w:style w:type="character" w:customStyle="1" w:styleId="10">
    <w:name w:val="Заголовок 1 Знак"/>
    <w:qFormat/>
    <w:rsid w:val="00B413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B413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413A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B413A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B413A4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B413A4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B413A4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B413A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B413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B413A4"/>
    <w:rPr>
      <w:color w:val="0000FF"/>
      <w:u w:val="single"/>
    </w:rPr>
  </w:style>
  <w:style w:type="character" w:customStyle="1" w:styleId="a8">
    <w:name w:val="Символ нумерации"/>
    <w:qFormat/>
    <w:rsid w:val="00B413A4"/>
    <w:rPr>
      <w:b w:val="0"/>
      <w:bCs w:val="0"/>
    </w:rPr>
  </w:style>
  <w:style w:type="character" w:customStyle="1" w:styleId="285pt">
    <w:name w:val="Основной текст (2) + 8;5 pt"/>
    <w:qFormat/>
    <w:rsid w:val="00B413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B413A4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B413A4"/>
  </w:style>
  <w:style w:type="character" w:customStyle="1" w:styleId="HTML">
    <w:name w:val="Стандартный HTML Знак"/>
    <w:qFormat/>
    <w:rsid w:val="00B413A4"/>
    <w:rPr>
      <w:rFonts w:ascii="Courier New" w:hAnsi="Courier New" w:cs="Courier New"/>
    </w:rPr>
  </w:style>
  <w:style w:type="character" w:customStyle="1" w:styleId="aa">
    <w:name w:val="Маркеры списка"/>
    <w:qFormat/>
    <w:rsid w:val="00B413A4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B413A4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B413A4"/>
    <w:pPr>
      <w:jc w:val="both"/>
    </w:pPr>
    <w:rPr>
      <w:sz w:val="28"/>
    </w:rPr>
  </w:style>
  <w:style w:type="paragraph" w:styleId="ad">
    <w:name w:val="List"/>
    <w:basedOn w:val="ac"/>
    <w:rsid w:val="00B413A4"/>
    <w:rPr>
      <w:rFonts w:cs="Mangal;Courier New"/>
    </w:rPr>
  </w:style>
  <w:style w:type="paragraph" w:customStyle="1" w:styleId="Caption">
    <w:name w:val="Caption"/>
    <w:basedOn w:val="a"/>
    <w:qFormat/>
    <w:rsid w:val="00B41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B413A4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B413A4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B413A4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B413A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B413A4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B413A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413A4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B413A4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B413A4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B413A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B413A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413A4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B413A4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B413A4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B413A4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B413A4"/>
    <w:pPr>
      <w:ind w:left="720"/>
    </w:pPr>
  </w:style>
  <w:style w:type="paragraph" w:customStyle="1" w:styleId="af4">
    <w:name w:val="Содержимое таблицы"/>
    <w:basedOn w:val="a"/>
    <w:qFormat/>
    <w:rsid w:val="00B413A4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B413A4"/>
    <w:rPr>
      <w:b/>
      <w:bCs/>
    </w:rPr>
  </w:style>
  <w:style w:type="paragraph" w:customStyle="1" w:styleId="ConsPlusNonformat">
    <w:name w:val="ConsPlusNonformat"/>
    <w:qFormat/>
    <w:rsid w:val="00B413A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B413A4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B413A4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B4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B413A4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B413A4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B413A4"/>
  </w:style>
  <w:style w:type="numbering" w:customStyle="1" w:styleId="WW8Num2">
    <w:name w:val="WW8Num2"/>
    <w:qFormat/>
    <w:rsid w:val="00B413A4"/>
  </w:style>
  <w:style w:type="numbering" w:customStyle="1" w:styleId="WW8Num3">
    <w:name w:val="WW8Num3"/>
    <w:qFormat/>
    <w:rsid w:val="00B413A4"/>
  </w:style>
  <w:style w:type="numbering" w:customStyle="1" w:styleId="WW8Num4">
    <w:name w:val="WW8Num4"/>
    <w:qFormat/>
    <w:rsid w:val="00B413A4"/>
  </w:style>
  <w:style w:type="numbering" w:customStyle="1" w:styleId="WW8Num5">
    <w:name w:val="WW8Num5"/>
    <w:qFormat/>
    <w:rsid w:val="00B413A4"/>
  </w:style>
  <w:style w:type="character" w:styleId="af8">
    <w:name w:val="Hyperlink"/>
    <w:basedOn w:val="a0"/>
    <w:uiPriority w:val="99"/>
    <w:semiHidden/>
    <w:unhideWhenUsed/>
    <w:rsid w:val="00813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roman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Romanovsky</cp:lastModifiedBy>
  <cp:revision>2</cp:revision>
  <cp:lastPrinted>2022-03-17T11:31:00Z</cp:lastPrinted>
  <dcterms:created xsi:type="dcterms:W3CDTF">2022-03-17T10:42:00Z</dcterms:created>
  <dcterms:modified xsi:type="dcterms:W3CDTF">2022-03-17T11:31:00Z</dcterms:modified>
  <dc:language>ru-RU</dc:language>
</cp:coreProperties>
</file>